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6048" w14:textId="300FED02" w:rsidR="00B71A83" w:rsidRPr="00B71A83" w:rsidRDefault="00B71A83" w:rsidP="00B71A83">
      <w:pPr>
        <w:jc w:val="center"/>
        <w:rPr>
          <w:rFonts w:ascii="標楷體" w:eastAsia="標楷體" w:hAnsi="標楷體"/>
          <w:sz w:val="32"/>
          <w:szCs w:val="32"/>
        </w:rPr>
      </w:pPr>
      <w:r w:rsidRPr="00B71A83">
        <w:rPr>
          <w:rFonts w:ascii="標楷體" w:eastAsia="標楷體" w:hAnsi="標楷體"/>
          <w:sz w:val="32"/>
          <w:szCs w:val="32"/>
        </w:rPr>
        <w:t>桃園市</w:t>
      </w:r>
      <w:r w:rsidRPr="00B71A83">
        <w:rPr>
          <w:rFonts w:ascii="標楷體" w:eastAsia="標楷體" w:hAnsi="標楷體" w:hint="eastAsia"/>
          <w:sz w:val="32"/>
          <w:szCs w:val="32"/>
        </w:rPr>
        <w:t>立</w:t>
      </w:r>
      <w:r w:rsidRPr="00B71A83">
        <w:rPr>
          <w:rFonts w:ascii="標楷體" w:eastAsia="標楷體" w:hAnsi="標楷體"/>
          <w:sz w:val="32"/>
          <w:szCs w:val="32"/>
        </w:rPr>
        <w:t>中興國民中學學生成績評量</w:t>
      </w:r>
      <w:r w:rsidRPr="00B71A83">
        <w:rPr>
          <w:rFonts w:ascii="標楷體" w:eastAsia="標楷體" w:hAnsi="標楷體" w:hint="eastAsia"/>
          <w:sz w:val="32"/>
          <w:szCs w:val="32"/>
        </w:rPr>
        <w:t>作</w:t>
      </w:r>
      <w:r w:rsidRPr="00B71A83">
        <w:rPr>
          <w:rFonts w:ascii="標楷體" w:eastAsia="標楷體" w:hAnsi="標楷體"/>
          <w:sz w:val="32"/>
          <w:szCs w:val="32"/>
        </w:rPr>
        <w:t>業</w:t>
      </w:r>
      <w:r w:rsidRPr="00B71A83">
        <w:rPr>
          <w:rFonts w:ascii="標楷體" w:eastAsia="標楷體" w:hAnsi="標楷體" w:hint="eastAsia"/>
          <w:sz w:val="32"/>
          <w:szCs w:val="32"/>
        </w:rPr>
        <w:t>實施要</w:t>
      </w:r>
      <w:r w:rsidRPr="00B71A83">
        <w:rPr>
          <w:rFonts w:ascii="標楷體" w:eastAsia="標楷體" w:hAnsi="標楷體"/>
          <w:sz w:val="32"/>
          <w:szCs w:val="32"/>
        </w:rPr>
        <w:t>點</w:t>
      </w:r>
    </w:p>
    <w:p w14:paraId="4C357994" w14:textId="77777777" w:rsidR="00B71A83" w:rsidRPr="00B71A83" w:rsidRDefault="00B71A83" w:rsidP="00B71A83">
      <w:pPr>
        <w:ind w:rightChars="18" w:right="43"/>
        <w:jc w:val="right"/>
        <w:rPr>
          <w:rFonts w:ascii="標楷體" w:eastAsia="標楷體" w:hAnsi="標楷體"/>
          <w:sz w:val="20"/>
          <w:szCs w:val="20"/>
        </w:rPr>
      </w:pPr>
      <w:r w:rsidRPr="00B71A83">
        <w:rPr>
          <w:rFonts w:ascii="標楷體" w:eastAsia="標楷體" w:hAnsi="標楷體" w:hint="eastAsia"/>
          <w:sz w:val="20"/>
          <w:szCs w:val="20"/>
        </w:rPr>
        <w:t>10</w:t>
      </w:r>
      <w:r w:rsidRPr="00B71A83">
        <w:rPr>
          <w:rFonts w:ascii="標楷體" w:eastAsia="標楷體" w:hAnsi="標楷體"/>
          <w:sz w:val="20"/>
          <w:szCs w:val="20"/>
        </w:rPr>
        <w:t>6</w:t>
      </w:r>
      <w:r w:rsidRPr="00B71A83">
        <w:rPr>
          <w:rFonts w:ascii="標楷體" w:eastAsia="標楷體" w:hAnsi="標楷體" w:hint="eastAsia"/>
          <w:sz w:val="20"/>
          <w:szCs w:val="20"/>
        </w:rPr>
        <w:t>年6月23日第4</w:t>
      </w:r>
      <w:r w:rsidRPr="00B71A83">
        <w:rPr>
          <w:rFonts w:ascii="標楷體" w:eastAsia="標楷體" w:hAnsi="標楷體"/>
          <w:sz w:val="20"/>
          <w:szCs w:val="20"/>
        </w:rPr>
        <w:t>次</w:t>
      </w:r>
      <w:r w:rsidRPr="00B71A83">
        <w:rPr>
          <w:rFonts w:ascii="標楷體" w:eastAsia="標楷體" w:hAnsi="標楷體" w:hint="eastAsia"/>
          <w:sz w:val="20"/>
          <w:szCs w:val="20"/>
        </w:rPr>
        <w:t>課程發展委員會通過</w:t>
      </w:r>
    </w:p>
    <w:p w14:paraId="3A861149" w14:textId="77777777" w:rsidR="00B71A83" w:rsidRPr="00B71A83" w:rsidRDefault="00B71A83" w:rsidP="00B71A83">
      <w:pPr>
        <w:ind w:rightChars="18" w:right="43"/>
        <w:jc w:val="right"/>
        <w:rPr>
          <w:rFonts w:ascii="標楷體" w:eastAsia="標楷體" w:hAnsi="標楷體" w:cs="新細明體"/>
          <w:sz w:val="20"/>
          <w:szCs w:val="20"/>
        </w:rPr>
      </w:pPr>
      <w:r w:rsidRPr="00B71A83">
        <w:rPr>
          <w:rFonts w:ascii="標楷體" w:eastAsia="標楷體" w:hAnsi="標楷體" w:cs="新細明體" w:hint="eastAsia"/>
          <w:sz w:val="20"/>
          <w:szCs w:val="20"/>
        </w:rPr>
        <w:t>10</w:t>
      </w:r>
      <w:r w:rsidRPr="00B71A83">
        <w:rPr>
          <w:rFonts w:ascii="標楷體" w:eastAsia="標楷體" w:hAnsi="標楷體" w:cs="新細明體"/>
          <w:sz w:val="20"/>
          <w:szCs w:val="20"/>
        </w:rPr>
        <w:t>9</w:t>
      </w:r>
      <w:r w:rsidRPr="00B71A83">
        <w:rPr>
          <w:rFonts w:ascii="標楷體" w:eastAsia="標楷體" w:hAnsi="標楷體" w:cs="新細明體" w:hint="eastAsia"/>
          <w:sz w:val="20"/>
          <w:szCs w:val="20"/>
        </w:rPr>
        <w:t>年3月2</w:t>
      </w:r>
      <w:r w:rsidRPr="00B71A83">
        <w:rPr>
          <w:rFonts w:ascii="標楷體" w:eastAsia="標楷體" w:hAnsi="標楷體" w:cs="新細明體"/>
          <w:sz w:val="20"/>
          <w:szCs w:val="20"/>
        </w:rPr>
        <w:t>0</w:t>
      </w:r>
      <w:r w:rsidRPr="00B71A83">
        <w:rPr>
          <w:rFonts w:ascii="標楷體" w:eastAsia="標楷體" w:hAnsi="標楷體" w:cs="新細明體" w:hint="eastAsia"/>
          <w:sz w:val="20"/>
          <w:szCs w:val="20"/>
        </w:rPr>
        <w:t>日第</w:t>
      </w:r>
      <w:r w:rsidRPr="00B71A83">
        <w:rPr>
          <w:rFonts w:ascii="標楷體" w:eastAsia="標楷體" w:hAnsi="標楷體" w:cs="新細明體"/>
          <w:sz w:val="20"/>
          <w:szCs w:val="20"/>
        </w:rPr>
        <w:t>5</w:t>
      </w:r>
      <w:r w:rsidRPr="00B71A83">
        <w:rPr>
          <w:rFonts w:ascii="標楷體" w:eastAsia="標楷體" w:hAnsi="標楷體" w:cs="新細明體" w:hint="eastAsia"/>
          <w:sz w:val="20"/>
          <w:szCs w:val="20"/>
        </w:rPr>
        <w:t>次課程發展委員會通過</w:t>
      </w:r>
    </w:p>
    <w:p w14:paraId="4451F449" w14:textId="570207CC" w:rsidR="00B71A83" w:rsidRPr="00B71A83" w:rsidRDefault="00B71A83" w:rsidP="00B71A83">
      <w:pPr>
        <w:ind w:rightChars="18" w:right="43"/>
        <w:jc w:val="right"/>
        <w:rPr>
          <w:rFonts w:ascii="標楷體" w:eastAsia="標楷體" w:hAnsi="標楷體"/>
          <w:sz w:val="20"/>
          <w:szCs w:val="20"/>
        </w:rPr>
      </w:pPr>
      <w:r w:rsidRPr="00B71A83">
        <w:rPr>
          <w:rFonts w:ascii="標楷體" w:eastAsia="標楷體" w:hAnsi="標楷體" w:cs="新細明體" w:hint="eastAsia"/>
          <w:sz w:val="20"/>
          <w:szCs w:val="20"/>
        </w:rPr>
        <w:t>1</w:t>
      </w:r>
      <w:r w:rsidRPr="00B71A83">
        <w:rPr>
          <w:rFonts w:ascii="標楷體" w:eastAsia="標楷體" w:hAnsi="標楷體" w:cs="新細明體"/>
          <w:sz w:val="20"/>
          <w:szCs w:val="20"/>
        </w:rPr>
        <w:t>13</w:t>
      </w:r>
      <w:r w:rsidRPr="00B71A83">
        <w:rPr>
          <w:rFonts w:ascii="標楷體" w:eastAsia="標楷體" w:hAnsi="標楷體" w:cs="新細明體" w:hint="eastAsia"/>
          <w:sz w:val="20"/>
          <w:szCs w:val="20"/>
        </w:rPr>
        <w:t>年1</w:t>
      </w:r>
      <w:r w:rsidRPr="00B71A83">
        <w:rPr>
          <w:rFonts w:ascii="標楷體" w:eastAsia="標楷體" w:hAnsi="標楷體" w:cs="新細明體"/>
          <w:sz w:val="20"/>
          <w:szCs w:val="20"/>
        </w:rPr>
        <w:t>2</w:t>
      </w:r>
      <w:r w:rsidRPr="00B71A83">
        <w:rPr>
          <w:rFonts w:ascii="標楷體" w:eastAsia="標楷體" w:hAnsi="標楷體" w:cs="新細明體" w:hint="eastAsia"/>
          <w:sz w:val="20"/>
          <w:szCs w:val="20"/>
        </w:rPr>
        <w:t>月</w:t>
      </w:r>
      <w:r w:rsidRPr="00B71A83">
        <w:rPr>
          <w:rFonts w:ascii="標楷體" w:eastAsia="標楷體" w:hAnsi="標楷體" w:cs="新細明體" w:hint="eastAsia"/>
          <w:sz w:val="20"/>
          <w:szCs w:val="20"/>
        </w:rPr>
        <w:t>17</w:t>
      </w:r>
      <w:r w:rsidRPr="00B71A83">
        <w:rPr>
          <w:rFonts w:ascii="標楷體" w:eastAsia="標楷體" w:hAnsi="標楷體" w:cs="新細明體" w:hint="eastAsia"/>
          <w:sz w:val="20"/>
          <w:szCs w:val="20"/>
        </w:rPr>
        <w:t>第3次課程發展委員會</w:t>
      </w:r>
      <w:r w:rsidRPr="00B71A83">
        <w:rPr>
          <w:rFonts w:ascii="標楷體" w:eastAsia="標楷體" w:hAnsi="標楷體" w:cs="新細明體" w:hint="eastAsia"/>
          <w:sz w:val="20"/>
          <w:szCs w:val="20"/>
        </w:rPr>
        <w:t>通過</w:t>
      </w:r>
    </w:p>
    <w:p w14:paraId="17157B66" w14:textId="77777777" w:rsidR="00B71A83" w:rsidRPr="00B71A83" w:rsidRDefault="00B71A83" w:rsidP="00B71A83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依據：</w:t>
      </w:r>
    </w:p>
    <w:p w14:paraId="2E2BBA98" w14:textId="03F75E46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國民小學及國民中學學</w:t>
      </w:r>
      <w:r w:rsidRPr="00B71A83">
        <w:rPr>
          <w:rFonts w:ascii="標楷體" w:eastAsia="標楷體" w:hAnsi="標楷體"/>
          <w:szCs w:val="24"/>
        </w:rPr>
        <w:t>生成績評量</w:t>
      </w:r>
      <w:r w:rsidRPr="00B71A83">
        <w:rPr>
          <w:rFonts w:ascii="標楷體" w:eastAsia="標楷體" w:hAnsi="標楷體" w:hint="eastAsia"/>
          <w:szCs w:val="24"/>
        </w:rPr>
        <w:t>辦法</w:t>
      </w:r>
      <w:r w:rsidRPr="00B71A83">
        <w:rPr>
          <w:rFonts w:ascii="標楷體" w:eastAsia="標楷體" w:hAnsi="標楷體" w:hint="eastAsia"/>
          <w:szCs w:val="24"/>
        </w:rPr>
        <w:t>。</w:t>
      </w:r>
    </w:p>
    <w:p w14:paraId="740A02A0" w14:textId="77777777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桃園市國民中學學生成績評量補充規定。</w:t>
      </w:r>
    </w:p>
    <w:p w14:paraId="0B82C6AF" w14:textId="77777777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教育部國民中學教學正常化視導實施計畫。</w:t>
      </w:r>
    </w:p>
    <w:p w14:paraId="0D4829E7" w14:textId="77777777" w:rsidR="00B71A83" w:rsidRPr="00B71A83" w:rsidRDefault="00B71A83" w:rsidP="00B71A83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目的：</w:t>
      </w:r>
    </w:p>
    <w:p w14:paraId="247C2A1C" w14:textId="77777777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協</w:t>
      </w:r>
      <w:r w:rsidRPr="00B71A83">
        <w:rPr>
          <w:rFonts w:ascii="標楷體" w:eastAsia="標楷體" w:hAnsi="標楷體"/>
          <w:szCs w:val="24"/>
        </w:rPr>
        <w:t>助學生</w:t>
      </w:r>
      <w:r w:rsidRPr="00B71A83">
        <w:rPr>
          <w:rFonts w:ascii="標楷體" w:eastAsia="標楷體" w:hAnsi="標楷體" w:hint="eastAsia"/>
          <w:szCs w:val="24"/>
        </w:rPr>
        <w:t>均衡</w:t>
      </w:r>
      <w:r w:rsidRPr="00B71A83">
        <w:rPr>
          <w:rFonts w:ascii="標楷體" w:eastAsia="標楷體" w:hAnsi="標楷體"/>
          <w:szCs w:val="24"/>
        </w:rPr>
        <w:t>發</w:t>
      </w:r>
      <w:r w:rsidRPr="00B71A83">
        <w:rPr>
          <w:rFonts w:ascii="標楷體" w:eastAsia="標楷體" w:hAnsi="標楷體" w:hint="eastAsia"/>
          <w:szCs w:val="24"/>
        </w:rPr>
        <w:t>展，據以瞭解自我表現，並調整學習方法與態度；</w:t>
      </w:r>
    </w:p>
    <w:p w14:paraId="4A682793" w14:textId="77777777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輔</w:t>
      </w:r>
      <w:r w:rsidRPr="00B71A83">
        <w:rPr>
          <w:rFonts w:ascii="標楷體" w:eastAsia="標楷體" w:hAnsi="標楷體"/>
          <w:szCs w:val="24"/>
        </w:rPr>
        <w:t>助</w:t>
      </w:r>
      <w:r w:rsidRPr="00B71A83">
        <w:rPr>
          <w:rFonts w:ascii="標楷體" w:eastAsia="標楷體" w:hAnsi="標楷體" w:hint="eastAsia"/>
          <w:szCs w:val="24"/>
        </w:rPr>
        <w:t>教師據以調整教學與評量方式，並輔導學生適性學習。</w:t>
      </w:r>
    </w:p>
    <w:p w14:paraId="18C2FD1C" w14:textId="77777777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通</w:t>
      </w:r>
      <w:r w:rsidRPr="00B71A83">
        <w:rPr>
          <w:rFonts w:ascii="標楷體" w:eastAsia="標楷體" w:hAnsi="標楷體"/>
          <w:szCs w:val="24"/>
        </w:rPr>
        <w:t>知</w:t>
      </w:r>
      <w:r w:rsidRPr="00B71A83">
        <w:rPr>
          <w:rFonts w:ascii="標楷體" w:eastAsia="標楷體" w:hAnsi="標楷體" w:hint="eastAsia"/>
          <w:szCs w:val="24"/>
        </w:rPr>
        <w:t>家長據以瞭解學生學習表現，並與教師、學校共同督導學生有效學習。</w:t>
      </w:r>
    </w:p>
    <w:p w14:paraId="0B74D253" w14:textId="77777777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配合本校校務推動與發展與國民中學教學正常化，以</w:t>
      </w:r>
      <w:r w:rsidRPr="00B71A83">
        <w:rPr>
          <w:rFonts w:ascii="標楷體" w:eastAsia="標楷體" w:hAnsi="標楷體"/>
          <w:szCs w:val="24"/>
        </w:rPr>
        <w:t>落實</w:t>
      </w:r>
      <w:r w:rsidRPr="00B71A83">
        <w:rPr>
          <w:rFonts w:ascii="標楷體" w:eastAsia="標楷體" w:hAnsi="標楷體" w:hint="eastAsia"/>
          <w:szCs w:val="24"/>
        </w:rPr>
        <w:t>「桃園市國民中學學生成績評量補充規定」第</w:t>
      </w:r>
      <w:r w:rsidRPr="00B71A83">
        <w:rPr>
          <w:rFonts w:ascii="標楷體" w:eastAsia="標楷體" w:hAnsi="標楷體"/>
          <w:szCs w:val="24"/>
        </w:rPr>
        <w:t>十</w:t>
      </w:r>
      <w:r w:rsidRPr="00B71A83">
        <w:rPr>
          <w:rFonts w:ascii="標楷體" w:eastAsia="標楷體" w:hAnsi="標楷體" w:hint="eastAsia"/>
          <w:szCs w:val="24"/>
        </w:rPr>
        <w:t>條。</w:t>
      </w:r>
    </w:p>
    <w:p w14:paraId="1BB561A4" w14:textId="77777777" w:rsidR="00B71A83" w:rsidRPr="00B71A83" w:rsidRDefault="00B71A83" w:rsidP="00B71A83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作業要項：</w:t>
      </w:r>
    </w:p>
    <w:p w14:paraId="186F9FDB" w14:textId="55DCFB3F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/>
          <w:szCs w:val="24"/>
        </w:rPr>
        <w:t>學生學習領域評量，分定期評量及平時評量二種</w:t>
      </w:r>
      <w:r w:rsidRPr="00B71A83">
        <w:rPr>
          <w:rFonts w:ascii="標楷體" w:eastAsia="標楷體" w:hAnsi="標楷體" w:hint="eastAsia"/>
          <w:szCs w:val="24"/>
        </w:rPr>
        <w:t>，成績各占百分之五十計算之</w:t>
      </w:r>
      <w:r w:rsidRPr="00B71A83">
        <w:rPr>
          <w:rFonts w:ascii="標楷體" w:eastAsia="標楷體" w:hAnsi="標楷體"/>
          <w:szCs w:val="24"/>
        </w:rPr>
        <w:t>。</w:t>
      </w:r>
    </w:p>
    <w:p w14:paraId="0D544EC8" w14:textId="77777777" w:rsidR="00B71A83" w:rsidRPr="00B71A83" w:rsidRDefault="00B71A83" w:rsidP="00B71A83">
      <w:pPr>
        <w:pStyle w:val="a3"/>
        <w:spacing w:beforeLines="50" w:before="180" w:afterLines="50" w:after="180"/>
        <w:ind w:leftChars="500" w:left="120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/>
          <w:szCs w:val="24"/>
        </w:rPr>
        <w:t>定期評量每學期</w:t>
      </w:r>
      <w:r w:rsidRPr="00B71A83">
        <w:rPr>
          <w:rFonts w:ascii="標楷體" w:eastAsia="標楷體" w:hAnsi="標楷體" w:hint="eastAsia"/>
          <w:szCs w:val="24"/>
        </w:rPr>
        <w:t>二次至</w:t>
      </w:r>
      <w:r w:rsidRPr="00B71A83">
        <w:rPr>
          <w:rFonts w:ascii="標楷體" w:eastAsia="標楷體" w:hAnsi="標楷體"/>
          <w:szCs w:val="24"/>
        </w:rPr>
        <w:t>三次</w:t>
      </w:r>
      <w:r w:rsidRPr="00B71A83">
        <w:rPr>
          <w:rFonts w:ascii="標楷體" w:eastAsia="標楷體" w:hAnsi="標楷體" w:hint="eastAsia"/>
          <w:szCs w:val="24"/>
        </w:rPr>
        <w:t>；彈性學習課程評量每學期二次，以平時評量為原則，</w:t>
      </w:r>
      <w:r w:rsidRPr="00B71A83">
        <w:rPr>
          <w:rFonts w:ascii="標楷體" w:eastAsia="標楷體" w:hAnsi="標楷體"/>
          <w:szCs w:val="24"/>
        </w:rPr>
        <w:t>經學校課程發展委員會通過後實施，其評量方式由各學習領域課程小組決定。</w:t>
      </w:r>
    </w:p>
    <w:p w14:paraId="765F074D" w14:textId="17B1535D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/>
          <w:szCs w:val="24"/>
        </w:rPr>
        <w:t>學生</w:t>
      </w:r>
      <w:r w:rsidRPr="00B71A83">
        <w:rPr>
          <w:rFonts w:ascii="標楷體" w:eastAsia="標楷體" w:hAnsi="標楷體" w:hint="eastAsia"/>
          <w:szCs w:val="24"/>
        </w:rPr>
        <w:t>學習</w:t>
      </w:r>
      <w:r w:rsidRPr="00B71A83">
        <w:rPr>
          <w:rFonts w:ascii="標楷體" w:eastAsia="標楷體" w:hAnsi="標楷體"/>
          <w:szCs w:val="24"/>
        </w:rPr>
        <w:t>評量，應視學生身心發展與個別差異，以獎勵與輔導為原則，參酌採取適當之多元評量方式辦理</w:t>
      </w:r>
      <w:r w:rsidRPr="00B71A83">
        <w:rPr>
          <w:rFonts w:ascii="標楷體" w:eastAsia="標楷體" w:hAnsi="標楷體" w:hint="eastAsia"/>
          <w:szCs w:val="24"/>
        </w:rPr>
        <w:t>。平時評量，除出席情形及上課表現外(至少30%)，其評量方式如：筆試(低於5</w:t>
      </w:r>
      <w:r w:rsidRPr="00B71A83">
        <w:rPr>
          <w:rFonts w:ascii="標楷體" w:eastAsia="標楷體" w:hAnsi="標楷體"/>
          <w:szCs w:val="24"/>
        </w:rPr>
        <w:t>0%)</w:t>
      </w:r>
      <w:r w:rsidRPr="00B71A83">
        <w:rPr>
          <w:rFonts w:ascii="標楷體" w:eastAsia="標楷體" w:hAnsi="標楷體" w:hint="eastAsia"/>
          <w:szCs w:val="24"/>
        </w:rPr>
        <w:t>、口試、表演、實作、作業、報告、資料蒐集整理、鑑賞、晤談、實踐、自我評量、</w:t>
      </w:r>
      <w:proofErr w:type="gramStart"/>
      <w:r w:rsidRPr="00B71A83">
        <w:rPr>
          <w:rFonts w:ascii="標楷體" w:eastAsia="標楷體" w:hAnsi="標楷體" w:hint="eastAsia"/>
          <w:szCs w:val="24"/>
        </w:rPr>
        <w:t>同儕互評</w:t>
      </w:r>
      <w:proofErr w:type="gramEnd"/>
      <w:r w:rsidRPr="00B71A83">
        <w:rPr>
          <w:rFonts w:ascii="標楷體" w:eastAsia="標楷體" w:hAnsi="標楷體" w:hint="eastAsia"/>
          <w:szCs w:val="24"/>
        </w:rPr>
        <w:t>、校外學習、檔案評量或其他等。</w:t>
      </w:r>
    </w:p>
    <w:p w14:paraId="36A7FB1A" w14:textId="77777777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/>
          <w:szCs w:val="24"/>
        </w:rPr>
        <w:t>學生於實施定期評量時因故缺考</w:t>
      </w:r>
      <w:r w:rsidRPr="00B71A83">
        <w:rPr>
          <w:rFonts w:ascii="標楷體" w:eastAsia="標楷體" w:hAnsi="標楷體" w:hint="eastAsia"/>
          <w:szCs w:val="24"/>
        </w:rPr>
        <w:t>者</w:t>
      </w:r>
      <w:r w:rsidRPr="00B71A83">
        <w:rPr>
          <w:rFonts w:ascii="標楷體" w:eastAsia="標楷體" w:hAnsi="標楷體"/>
          <w:szCs w:val="24"/>
        </w:rPr>
        <w:t>，依下列規定辦理：</w:t>
      </w:r>
    </w:p>
    <w:p w14:paraId="6558DE19" w14:textId="77777777" w:rsidR="00B71A83" w:rsidRPr="00B71A83" w:rsidRDefault="00B71A83" w:rsidP="00B71A83">
      <w:pPr>
        <w:pStyle w:val="a3"/>
        <w:numPr>
          <w:ilvl w:val="2"/>
          <w:numId w:val="1"/>
        </w:numPr>
        <w:spacing w:beforeLines="50" w:before="180" w:afterLines="50" w:after="180"/>
        <w:ind w:leftChars="0" w:left="1418" w:hanging="32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/>
          <w:szCs w:val="24"/>
        </w:rPr>
        <w:t>其經學校准假者，應於銷假後立即補考，其補考成績以實得分數計算。</w:t>
      </w:r>
    </w:p>
    <w:p w14:paraId="1D4D5421" w14:textId="77777777" w:rsidR="00B71A83" w:rsidRPr="00B71A83" w:rsidRDefault="00B71A83" w:rsidP="00B71A83">
      <w:pPr>
        <w:pStyle w:val="a3"/>
        <w:numPr>
          <w:ilvl w:val="2"/>
          <w:numId w:val="1"/>
        </w:numPr>
        <w:spacing w:beforeLines="50" w:before="180" w:afterLines="50" w:after="180"/>
        <w:ind w:leftChars="0" w:left="1418" w:hanging="32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/>
          <w:szCs w:val="24"/>
        </w:rPr>
        <w:t>學生因中途輟學而復學後，其當學期缺課期間之成績，由任課教師按領域</w:t>
      </w:r>
      <w:r w:rsidRPr="00B71A83">
        <w:rPr>
          <w:rFonts w:ascii="標楷體" w:eastAsia="標楷體" w:hAnsi="標楷體" w:hint="eastAsia"/>
          <w:szCs w:val="24"/>
        </w:rPr>
        <w:t>(</w:t>
      </w:r>
      <w:r w:rsidRPr="00B71A83">
        <w:rPr>
          <w:rFonts w:ascii="標楷體" w:eastAsia="標楷體" w:hAnsi="標楷體"/>
          <w:szCs w:val="24"/>
        </w:rPr>
        <w:t>學科</w:t>
      </w:r>
      <w:r w:rsidRPr="00B71A83">
        <w:rPr>
          <w:rFonts w:ascii="標楷體" w:eastAsia="標楷體" w:hAnsi="標楷體" w:hint="eastAsia"/>
          <w:szCs w:val="24"/>
        </w:rPr>
        <w:t>)</w:t>
      </w:r>
      <w:r w:rsidRPr="00B71A83">
        <w:rPr>
          <w:rFonts w:ascii="標楷體" w:eastAsia="標楷體" w:hAnsi="標楷體"/>
          <w:szCs w:val="24"/>
        </w:rPr>
        <w:t>以補考或適當之多元評量方式評定之。</w:t>
      </w:r>
    </w:p>
    <w:p w14:paraId="3AA130CF" w14:textId="77777777" w:rsidR="00B71A83" w:rsidRPr="00B71A83" w:rsidRDefault="00B71A83" w:rsidP="00B71A83">
      <w:pPr>
        <w:pStyle w:val="a3"/>
        <w:numPr>
          <w:ilvl w:val="2"/>
          <w:numId w:val="1"/>
        </w:numPr>
        <w:spacing w:beforeLines="50" w:before="180" w:afterLines="50" w:after="180"/>
        <w:ind w:leftChars="0" w:left="1418" w:hanging="32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/>
          <w:szCs w:val="24"/>
        </w:rPr>
        <w:t>學生因中途輟學或無故缺課達一學期以上，而返校繼續就讀者，其全學期缺課期間之成績以零分計算。</w:t>
      </w:r>
    </w:p>
    <w:p w14:paraId="54DA3F3A" w14:textId="77777777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/>
          <w:szCs w:val="24"/>
        </w:rPr>
        <w:t>學生成績之登記及處理應以資訊化方式為之。</w:t>
      </w:r>
      <w:r w:rsidRPr="00B71A83">
        <w:rPr>
          <w:rFonts w:ascii="標楷體" w:eastAsia="標楷體" w:hAnsi="標楷體"/>
          <w:szCs w:val="24"/>
        </w:rPr>
        <w:br/>
        <w:t>學習領域之評量由教務處主辦，日常生活表現之評量由學</w:t>
      </w:r>
      <w:proofErr w:type="gramStart"/>
      <w:r w:rsidRPr="00B71A83">
        <w:rPr>
          <w:rFonts w:ascii="標楷體" w:eastAsia="標楷體" w:hAnsi="標楷體"/>
          <w:szCs w:val="24"/>
        </w:rPr>
        <w:t>務</w:t>
      </w:r>
      <w:proofErr w:type="gramEnd"/>
      <w:r w:rsidRPr="00B71A83">
        <w:rPr>
          <w:rFonts w:ascii="標楷體" w:eastAsia="標楷體" w:hAnsi="標楷體"/>
          <w:szCs w:val="24"/>
        </w:rPr>
        <w:t>處主辦，</w:t>
      </w:r>
      <w:r w:rsidRPr="00B71A83">
        <w:rPr>
          <w:rFonts w:ascii="標楷體" w:eastAsia="標楷體" w:hAnsi="標楷體" w:hint="eastAsia"/>
          <w:szCs w:val="24"/>
        </w:rPr>
        <w:t>成</w:t>
      </w:r>
      <w:r w:rsidRPr="00B71A83">
        <w:rPr>
          <w:rFonts w:ascii="標楷體" w:eastAsia="標楷體" w:hAnsi="標楷體"/>
          <w:szCs w:val="24"/>
        </w:rPr>
        <w:t>績通知單</w:t>
      </w:r>
      <w:r w:rsidRPr="00B71A83">
        <w:rPr>
          <w:rFonts w:ascii="標楷體" w:eastAsia="標楷體" w:hAnsi="標楷體" w:hint="eastAsia"/>
          <w:szCs w:val="24"/>
        </w:rPr>
        <w:t>之檢</w:t>
      </w:r>
      <w:r w:rsidRPr="00B71A83">
        <w:rPr>
          <w:rFonts w:ascii="標楷體" w:eastAsia="標楷體" w:hAnsi="標楷體"/>
          <w:szCs w:val="24"/>
        </w:rPr>
        <w:t>核由輔導</w:t>
      </w:r>
      <w:r w:rsidRPr="00B71A83">
        <w:rPr>
          <w:rFonts w:ascii="標楷體" w:eastAsia="標楷體" w:hAnsi="標楷體" w:hint="eastAsia"/>
          <w:szCs w:val="24"/>
        </w:rPr>
        <w:t>室</w:t>
      </w:r>
      <w:r w:rsidRPr="00B71A83">
        <w:rPr>
          <w:rFonts w:ascii="標楷體" w:eastAsia="標楷體" w:hAnsi="標楷體"/>
          <w:szCs w:val="24"/>
        </w:rPr>
        <w:t>主辦，任課教師及導師應配合辦理之。</w:t>
      </w:r>
    </w:p>
    <w:p w14:paraId="53B87F97" w14:textId="77777777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/>
          <w:szCs w:val="24"/>
        </w:rPr>
        <w:lastRenderedPageBreak/>
        <w:t>學生之成績評量紀錄，學校每學期以書面通知家長及學生至少一次</w:t>
      </w:r>
      <w:r w:rsidRPr="00B71A83">
        <w:rPr>
          <w:rFonts w:ascii="標楷體" w:eastAsia="標楷體" w:hAnsi="標楷體" w:hint="eastAsia"/>
          <w:szCs w:val="24"/>
        </w:rPr>
        <w:t>，相</w:t>
      </w:r>
      <w:r w:rsidRPr="00B71A83">
        <w:rPr>
          <w:rFonts w:ascii="標楷體" w:eastAsia="標楷體" w:hAnsi="標楷體"/>
          <w:szCs w:val="24"/>
        </w:rPr>
        <w:t>關</w:t>
      </w:r>
      <w:r w:rsidRPr="00B71A83">
        <w:rPr>
          <w:rFonts w:ascii="標楷體" w:eastAsia="標楷體" w:hAnsi="標楷體" w:hint="eastAsia"/>
          <w:szCs w:val="24"/>
        </w:rPr>
        <w:t>成</w:t>
      </w:r>
      <w:r w:rsidRPr="00B71A83">
        <w:rPr>
          <w:rFonts w:ascii="標楷體" w:eastAsia="標楷體" w:hAnsi="標楷體"/>
          <w:szCs w:val="24"/>
        </w:rPr>
        <w:t>績通</w:t>
      </w:r>
      <w:r w:rsidRPr="00B71A83">
        <w:rPr>
          <w:rFonts w:ascii="標楷體" w:eastAsia="標楷體" w:hAnsi="標楷體" w:hint="eastAsia"/>
          <w:szCs w:val="24"/>
        </w:rPr>
        <w:t>知標</w:t>
      </w:r>
      <w:r w:rsidRPr="00B71A83">
        <w:rPr>
          <w:rFonts w:ascii="標楷體" w:eastAsia="標楷體" w:hAnsi="標楷體"/>
          <w:szCs w:val="24"/>
        </w:rPr>
        <w:t>準</w:t>
      </w:r>
      <w:r w:rsidRPr="00B71A83">
        <w:rPr>
          <w:rFonts w:ascii="標楷體" w:eastAsia="標楷體" w:hAnsi="標楷體" w:hint="eastAsia"/>
          <w:szCs w:val="24"/>
        </w:rPr>
        <w:t>作</w:t>
      </w:r>
      <w:r w:rsidRPr="00B71A83">
        <w:rPr>
          <w:rFonts w:ascii="標楷體" w:eastAsia="標楷體" w:hAnsi="標楷體"/>
          <w:szCs w:val="24"/>
        </w:rPr>
        <w:t>業</w:t>
      </w:r>
      <w:r w:rsidRPr="00B71A83">
        <w:rPr>
          <w:rFonts w:ascii="標楷體" w:eastAsia="標楷體" w:hAnsi="標楷體" w:hint="eastAsia"/>
          <w:szCs w:val="24"/>
        </w:rPr>
        <w:t>流程</w:t>
      </w:r>
      <w:r w:rsidRPr="00B71A83">
        <w:rPr>
          <w:rFonts w:ascii="標楷體" w:eastAsia="標楷體" w:hAnsi="標楷體"/>
          <w:szCs w:val="24"/>
        </w:rPr>
        <w:t>如</w:t>
      </w:r>
      <w:r w:rsidRPr="00B71A83">
        <w:rPr>
          <w:rFonts w:ascii="標楷體" w:eastAsia="標楷體" w:hAnsi="標楷體" w:hint="eastAsia"/>
          <w:szCs w:val="24"/>
        </w:rPr>
        <w:t>附</w:t>
      </w:r>
      <w:r w:rsidRPr="00B71A83">
        <w:rPr>
          <w:rFonts w:ascii="標楷體" w:eastAsia="標楷體" w:hAnsi="標楷體"/>
          <w:szCs w:val="24"/>
        </w:rPr>
        <w:t>表。</w:t>
      </w:r>
    </w:p>
    <w:p w14:paraId="6803B6CB" w14:textId="08D7D5F4" w:rsidR="00B71A83" w:rsidRPr="00B71A83" w:rsidRDefault="00B71A83" w:rsidP="00B71A83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/>
          <w:szCs w:val="24"/>
        </w:rPr>
        <w:t>學校應</w:t>
      </w:r>
      <w:r w:rsidRPr="00B71A83">
        <w:rPr>
          <w:rFonts w:ascii="標楷體" w:eastAsia="標楷體" w:hAnsi="標楷體" w:hint="eastAsia"/>
          <w:szCs w:val="24"/>
        </w:rPr>
        <w:t>結合教務、學</w:t>
      </w:r>
      <w:proofErr w:type="gramStart"/>
      <w:r w:rsidRPr="00B71A83">
        <w:rPr>
          <w:rFonts w:ascii="標楷體" w:eastAsia="標楷體" w:hAnsi="標楷體" w:hint="eastAsia"/>
          <w:szCs w:val="24"/>
        </w:rPr>
        <w:t>務</w:t>
      </w:r>
      <w:proofErr w:type="gramEnd"/>
      <w:r w:rsidRPr="00B71A83">
        <w:rPr>
          <w:rFonts w:ascii="標楷體" w:eastAsia="標楷體" w:hAnsi="標楷體" w:hint="eastAsia"/>
          <w:szCs w:val="24"/>
        </w:rPr>
        <w:t>、輔導等相關單位及學生法定代理人資源，確實掌握學生學習狀況，</w:t>
      </w:r>
      <w:proofErr w:type="gramStart"/>
      <w:r w:rsidRPr="00B71A83">
        <w:rPr>
          <w:rFonts w:ascii="標楷體" w:eastAsia="標楷體" w:hAnsi="標楷體" w:hint="eastAsia"/>
          <w:szCs w:val="24"/>
        </w:rPr>
        <w:t>對需予</w:t>
      </w:r>
      <w:proofErr w:type="gramEnd"/>
      <w:r w:rsidRPr="00B71A83">
        <w:rPr>
          <w:rFonts w:ascii="標楷體" w:eastAsia="標楷體" w:hAnsi="標楷體" w:hint="eastAsia"/>
          <w:szCs w:val="24"/>
        </w:rPr>
        <w:t>協助者，實施預警及輔導措施。</w:t>
      </w:r>
    </w:p>
    <w:p w14:paraId="71887C02" w14:textId="017B596D" w:rsidR="00B71A83" w:rsidRPr="00B71A83" w:rsidRDefault="00B71A83" w:rsidP="00B71A83">
      <w:pPr>
        <w:pStyle w:val="a3"/>
        <w:spacing w:beforeLines="50" w:before="180" w:afterLines="50" w:after="180"/>
        <w:ind w:leftChars="500" w:left="120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/>
          <w:szCs w:val="24"/>
        </w:rPr>
        <w:t>學生定期</w:t>
      </w:r>
      <w:r w:rsidRPr="00B71A83">
        <w:rPr>
          <w:rFonts w:ascii="標楷體" w:eastAsia="標楷體" w:hAnsi="標楷體" w:hint="eastAsia"/>
          <w:szCs w:val="24"/>
        </w:rPr>
        <w:t>評</w:t>
      </w:r>
      <w:r w:rsidRPr="00B71A83">
        <w:rPr>
          <w:rFonts w:ascii="標楷體" w:eastAsia="標楷體" w:hAnsi="標楷體"/>
          <w:szCs w:val="24"/>
        </w:rPr>
        <w:t>量及平時評量之成績，</w:t>
      </w:r>
      <w:r w:rsidRPr="00B71A83">
        <w:rPr>
          <w:rFonts w:ascii="標楷體" w:eastAsia="標楷體" w:hAnsi="標楷體" w:hint="eastAsia"/>
          <w:szCs w:val="24"/>
        </w:rPr>
        <w:t>經</w:t>
      </w:r>
      <w:r w:rsidRPr="00B71A83">
        <w:rPr>
          <w:rFonts w:ascii="標楷體" w:eastAsia="標楷體" w:hAnsi="標楷體"/>
          <w:szCs w:val="24"/>
        </w:rPr>
        <w:t>評定為不及格者，</w:t>
      </w:r>
      <w:r w:rsidRPr="00B71A83">
        <w:rPr>
          <w:rFonts w:ascii="標楷體" w:eastAsia="標楷體" w:hAnsi="標楷體" w:hint="eastAsia"/>
          <w:szCs w:val="24"/>
        </w:rPr>
        <w:t>學校應依國民小學及國民中學學習扶助實施方案規定，對其實施學習扶助措施。學生經實施學習扶助後，其成績評定及格者，該領域（學科）之總學期成績應調整為六十分。</w:t>
      </w:r>
    </w:p>
    <w:p w14:paraId="1C0A5902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(七)每學期初針對學習領域成績未達丙等</w:t>
      </w:r>
      <w:r w:rsidRPr="00B71A83">
        <w:rPr>
          <w:rFonts w:ascii="標楷體" w:eastAsia="標楷體" w:hAnsi="標楷體"/>
          <w:szCs w:val="24"/>
        </w:rPr>
        <w:t>(60分)之學生，發放</w:t>
      </w:r>
      <w:r w:rsidRPr="00B71A83">
        <w:rPr>
          <w:rFonts w:ascii="標楷體" w:eastAsia="標楷體" w:hAnsi="標楷體" w:hint="eastAsia"/>
          <w:szCs w:val="24"/>
        </w:rPr>
        <w:t>補考</w:t>
      </w:r>
      <w:r w:rsidRPr="00B71A83">
        <w:rPr>
          <w:rFonts w:ascii="標楷體" w:eastAsia="標楷體" w:hAnsi="標楷體"/>
          <w:szCs w:val="24"/>
        </w:rPr>
        <w:t>通知單；</w:t>
      </w:r>
      <w:r w:rsidRPr="00B71A83">
        <w:rPr>
          <w:rFonts w:ascii="標楷體" w:eastAsia="標楷體" w:hAnsi="標楷體" w:hint="eastAsia"/>
          <w:szCs w:val="24"/>
        </w:rPr>
        <w:t>另外，針對該學期領域學習成績四領域不及格之學生寄發家長通知書。學生於期限內完成補考，該學期該領域</w:t>
      </w:r>
      <w:r w:rsidRPr="00B71A83">
        <w:rPr>
          <w:rFonts w:ascii="標楷體" w:eastAsia="標楷體" w:hAnsi="標楷體"/>
          <w:szCs w:val="24"/>
        </w:rPr>
        <w:t>(學科)成績予以調整為</w:t>
      </w:r>
      <w:r w:rsidRPr="00B71A83">
        <w:rPr>
          <w:rFonts w:ascii="標楷體" w:eastAsia="標楷體" w:hAnsi="標楷體" w:hint="eastAsia"/>
          <w:szCs w:val="24"/>
        </w:rPr>
        <w:t>六十分</w:t>
      </w:r>
      <w:r w:rsidRPr="00B71A83">
        <w:rPr>
          <w:rFonts w:ascii="標楷體" w:eastAsia="標楷體" w:hAnsi="標楷體"/>
          <w:szCs w:val="24"/>
        </w:rPr>
        <w:t>；未於期限內完成者，則維持原分數</w:t>
      </w:r>
      <w:r w:rsidRPr="00B71A83">
        <w:rPr>
          <w:rFonts w:ascii="標楷體" w:eastAsia="標楷體" w:hAnsi="標楷體" w:hint="eastAsia"/>
          <w:szCs w:val="24"/>
        </w:rPr>
        <w:t>。</w:t>
      </w:r>
    </w:p>
    <w:p w14:paraId="54055401" w14:textId="77777777" w:rsidR="00B71A83" w:rsidRPr="00B71A83" w:rsidRDefault="00B71A83" w:rsidP="00B71A83">
      <w:pPr>
        <w:pStyle w:val="a3"/>
        <w:spacing w:beforeLines="50" w:before="180" w:afterLines="50" w:after="180"/>
        <w:ind w:leftChars="415" w:left="1476" w:hangingChars="200" w:hanging="480"/>
        <w:rPr>
          <w:rFonts w:ascii="標楷體" w:eastAsia="標楷體" w:hAnsi="標楷體"/>
          <w:szCs w:val="24"/>
        </w:rPr>
      </w:pPr>
      <w:r w:rsidRPr="00B71A83">
        <w:rPr>
          <w:rFonts w:ascii="標楷體" w:eastAsia="標楷體" w:hAnsi="標楷體" w:hint="eastAsia"/>
          <w:szCs w:val="24"/>
        </w:rPr>
        <w:t>作法如下：</w:t>
      </w:r>
    </w:p>
    <w:tbl>
      <w:tblPr>
        <w:tblpPr w:leftFromText="180" w:rightFromText="180" w:vertAnchor="text" w:horzAnchor="margin" w:tblpXSpec="right" w:tblpY="69"/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039"/>
        <w:gridCol w:w="7197"/>
      </w:tblGrid>
      <w:tr w:rsidR="00B71A83" w:rsidRPr="00B71A83" w14:paraId="19EF8273" w14:textId="77777777" w:rsidTr="00F377F9">
        <w:trPr>
          <w:trHeight w:val="334"/>
        </w:trPr>
        <w:tc>
          <w:tcPr>
            <w:tcW w:w="1971" w:type="dxa"/>
            <w:gridSpan w:val="2"/>
            <w:vAlign w:val="center"/>
          </w:tcPr>
          <w:p w14:paraId="6B747FA1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  <w:strike/>
              </w:rPr>
            </w:pPr>
            <w:r w:rsidRPr="00B71A83">
              <w:rPr>
                <w:rFonts w:ascii="標楷體" w:eastAsia="標楷體" w:hAnsi="標楷體"/>
                <w:bCs/>
              </w:rPr>
              <w:t>領域</w:t>
            </w:r>
          </w:p>
        </w:tc>
        <w:tc>
          <w:tcPr>
            <w:tcW w:w="7197" w:type="dxa"/>
            <w:vAlign w:val="center"/>
          </w:tcPr>
          <w:p w14:paraId="6F513873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  <w:strike/>
              </w:rPr>
            </w:pPr>
            <w:r w:rsidRPr="00B71A83">
              <w:rPr>
                <w:rFonts w:ascii="標楷體" w:eastAsia="標楷體" w:hAnsi="標楷體"/>
              </w:rPr>
              <w:t>作　　法</w:t>
            </w:r>
          </w:p>
        </w:tc>
      </w:tr>
      <w:tr w:rsidR="00B71A83" w:rsidRPr="00B71A83" w14:paraId="2A9D8F7A" w14:textId="77777777" w:rsidTr="00F377F9">
        <w:trPr>
          <w:trHeight w:val="334"/>
        </w:trPr>
        <w:tc>
          <w:tcPr>
            <w:tcW w:w="932" w:type="dxa"/>
            <w:vMerge w:val="restart"/>
            <w:vAlign w:val="center"/>
          </w:tcPr>
          <w:p w14:paraId="146C3432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語文</w:t>
            </w:r>
          </w:p>
        </w:tc>
        <w:tc>
          <w:tcPr>
            <w:tcW w:w="1038" w:type="dxa"/>
            <w:vAlign w:val="center"/>
          </w:tcPr>
          <w:p w14:paraId="161B2168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國文</w:t>
            </w:r>
          </w:p>
        </w:tc>
        <w:tc>
          <w:tcPr>
            <w:tcW w:w="7197" w:type="dxa"/>
            <w:vAlign w:val="center"/>
          </w:tcPr>
          <w:p w14:paraId="29DD51F3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由任課教師挑選</w:t>
            </w:r>
            <w:proofErr w:type="gramStart"/>
            <w:r w:rsidRPr="00B71A83">
              <w:rPr>
                <w:rFonts w:ascii="標楷體" w:eastAsia="標楷體" w:hAnsi="標楷體"/>
                <w:bCs/>
              </w:rPr>
              <w:t>註</w:t>
            </w:r>
            <w:proofErr w:type="gramEnd"/>
            <w:r w:rsidRPr="00B71A83">
              <w:rPr>
                <w:rFonts w:ascii="標楷體" w:eastAsia="標楷體" w:hAnsi="標楷體"/>
                <w:bCs/>
              </w:rPr>
              <w:t>釋100個進行抄寫(人名、地名除外)</w:t>
            </w:r>
          </w:p>
        </w:tc>
      </w:tr>
      <w:tr w:rsidR="00B71A83" w:rsidRPr="00B71A83" w14:paraId="3FFB3D83" w14:textId="77777777" w:rsidTr="00F377F9">
        <w:trPr>
          <w:trHeight w:val="334"/>
        </w:trPr>
        <w:tc>
          <w:tcPr>
            <w:tcW w:w="932" w:type="dxa"/>
            <w:vMerge/>
            <w:vAlign w:val="center"/>
          </w:tcPr>
          <w:p w14:paraId="7995F7A2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</w:p>
        </w:tc>
        <w:tc>
          <w:tcPr>
            <w:tcW w:w="1038" w:type="dxa"/>
            <w:vAlign w:val="center"/>
          </w:tcPr>
          <w:p w14:paraId="094A0A86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本土語</w:t>
            </w:r>
          </w:p>
        </w:tc>
        <w:tc>
          <w:tcPr>
            <w:tcW w:w="7197" w:type="dxa"/>
            <w:vAlign w:val="center"/>
          </w:tcPr>
          <w:p w14:paraId="78827624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由授課教師各自負責</w:t>
            </w:r>
          </w:p>
        </w:tc>
      </w:tr>
      <w:tr w:rsidR="00B71A83" w:rsidRPr="00B71A83" w14:paraId="49C00D79" w14:textId="77777777" w:rsidTr="00F377F9">
        <w:trPr>
          <w:trHeight w:val="334"/>
        </w:trPr>
        <w:tc>
          <w:tcPr>
            <w:tcW w:w="932" w:type="dxa"/>
            <w:vMerge/>
            <w:vAlign w:val="center"/>
          </w:tcPr>
          <w:p w14:paraId="24739CF0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</w:p>
        </w:tc>
        <w:tc>
          <w:tcPr>
            <w:tcW w:w="1038" w:type="dxa"/>
            <w:vAlign w:val="center"/>
          </w:tcPr>
          <w:p w14:paraId="02586E92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英語</w:t>
            </w:r>
          </w:p>
        </w:tc>
        <w:tc>
          <w:tcPr>
            <w:tcW w:w="7197" w:type="dxa"/>
            <w:vAlign w:val="center"/>
          </w:tcPr>
          <w:p w14:paraId="1596802D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發放作業紙，書寫課程內中英文對照單字</w:t>
            </w:r>
          </w:p>
        </w:tc>
      </w:tr>
      <w:tr w:rsidR="00B71A83" w:rsidRPr="00B71A83" w14:paraId="703363F9" w14:textId="77777777" w:rsidTr="00F377F9">
        <w:trPr>
          <w:trHeight w:val="334"/>
        </w:trPr>
        <w:tc>
          <w:tcPr>
            <w:tcW w:w="1971" w:type="dxa"/>
            <w:gridSpan w:val="2"/>
            <w:tcBorders>
              <w:bottom w:val="single" w:sz="4" w:space="0" w:color="auto"/>
            </w:tcBorders>
            <w:vAlign w:val="center"/>
          </w:tcPr>
          <w:p w14:paraId="67D1C49B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數學</w:t>
            </w:r>
          </w:p>
        </w:tc>
        <w:tc>
          <w:tcPr>
            <w:tcW w:w="7197" w:type="dxa"/>
            <w:tcBorders>
              <w:bottom w:val="single" w:sz="4" w:space="0" w:color="auto"/>
            </w:tcBorders>
            <w:vAlign w:val="center"/>
          </w:tcPr>
          <w:p w14:paraId="75704C7E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抄寫課本後面重點整理，30分以上抄寫1遍，30分以下抄寫2遍</w:t>
            </w:r>
          </w:p>
        </w:tc>
      </w:tr>
      <w:tr w:rsidR="00B71A83" w:rsidRPr="00B71A83" w14:paraId="10931A86" w14:textId="77777777" w:rsidTr="00F377F9">
        <w:trPr>
          <w:trHeight w:val="237"/>
        </w:trPr>
        <w:tc>
          <w:tcPr>
            <w:tcW w:w="932" w:type="dxa"/>
            <w:vMerge w:val="restart"/>
            <w:shd w:val="clear" w:color="auto" w:fill="FFFFFF"/>
            <w:vAlign w:val="center"/>
          </w:tcPr>
          <w:p w14:paraId="7E8F3E5D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自然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5858802D" w14:textId="77777777" w:rsidR="00B71A83" w:rsidRPr="00B71A83" w:rsidRDefault="00B71A83" w:rsidP="00F377F9">
            <w:pPr>
              <w:pStyle w:val="font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生物</w:t>
            </w:r>
          </w:p>
        </w:tc>
        <w:tc>
          <w:tcPr>
            <w:tcW w:w="7197" w:type="dxa"/>
            <w:shd w:val="clear" w:color="auto" w:fill="FFFFFF"/>
            <w:vAlign w:val="center"/>
          </w:tcPr>
          <w:p w14:paraId="563A2B11" w14:textId="77777777" w:rsidR="00B71A83" w:rsidRPr="00B71A83" w:rsidRDefault="00B71A83" w:rsidP="00F377F9">
            <w:pPr>
              <w:pStyle w:val="font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由任課教師指定抄寫課後閱讀3篇</w:t>
            </w:r>
          </w:p>
        </w:tc>
      </w:tr>
      <w:tr w:rsidR="00B71A83" w:rsidRPr="00B71A83" w14:paraId="44838BDB" w14:textId="77777777" w:rsidTr="00F377F9">
        <w:trPr>
          <w:trHeight w:val="237"/>
        </w:trPr>
        <w:tc>
          <w:tcPr>
            <w:tcW w:w="932" w:type="dxa"/>
            <w:vMerge/>
            <w:shd w:val="clear" w:color="auto" w:fill="FFFFFF"/>
            <w:vAlign w:val="center"/>
          </w:tcPr>
          <w:p w14:paraId="766D3701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14:paraId="56E427A2" w14:textId="77777777" w:rsidR="00B71A83" w:rsidRPr="00B71A83" w:rsidRDefault="00B71A83" w:rsidP="00F377F9">
            <w:pPr>
              <w:pStyle w:val="font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理化</w:t>
            </w:r>
          </w:p>
          <w:p w14:paraId="09D15EE0" w14:textId="77777777" w:rsidR="00B71A83" w:rsidRPr="00B71A83" w:rsidRDefault="00B71A83" w:rsidP="00F377F9">
            <w:pPr>
              <w:pStyle w:val="font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地科</w:t>
            </w:r>
          </w:p>
        </w:tc>
        <w:tc>
          <w:tcPr>
            <w:tcW w:w="7197" w:type="dxa"/>
            <w:shd w:val="clear" w:color="auto" w:fill="FFFFFF"/>
            <w:vAlign w:val="center"/>
          </w:tcPr>
          <w:p w14:paraId="403175DE" w14:textId="77777777" w:rsidR="00B71A83" w:rsidRPr="00B71A83" w:rsidRDefault="00B71A83" w:rsidP="00F377F9">
            <w:pPr>
              <w:pStyle w:val="font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領域教師各自負責</w:t>
            </w:r>
          </w:p>
        </w:tc>
      </w:tr>
      <w:tr w:rsidR="00B71A83" w:rsidRPr="00B71A83" w14:paraId="22786413" w14:textId="77777777" w:rsidTr="00F377F9">
        <w:trPr>
          <w:trHeight w:val="236"/>
        </w:trPr>
        <w:tc>
          <w:tcPr>
            <w:tcW w:w="932" w:type="dxa"/>
            <w:vMerge w:val="restart"/>
            <w:shd w:val="clear" w:color="auto" w:fill="FFFFFF"/>
            <w:vAlign w:val="center"/>
          </w:tcPr>
          <w:p w14:paraId="059931F8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社會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611EAFAA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地理</w:t>
            </w:r>
          </w:p>
        </w:tc>
        <w:tc>
          <w:tcPr>
            <w:tcW w:w="7197" w:type="dxa"/>
            <w:shd w:val="clear" w:color="auto" w:fill="FFFFFF"/>
            <w:vAlign w:val="center"/>
          </w:tcPr>
          <w:p w14:paraId="7145EBEA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繪地圖</w:t>
            </w:r>
          </w:p>
        </w:tc>
      </w:tr>
      <w:tr w:rsidR="00B71A83" w:rsidRPr="00B71A83" w14:paraId="3D11AB36" w14:textId="77777777" w:rsidTr="00F377F9">
        <w:trPr>
          <w:trHeight w:val="236"/>
        </w:trPr>
        <w:tc>
          <w:tcPr>
            <w:tcW w:w="932" w:type="dxa"/>
            <w:vMerge/>
            <w:shd w:val="clear" w:color="auto" w:fill="FFFFFF"/>
            <w:vAlign w:val="center"/>
          </w:tcPr>
          <w:p w14:paraId="7FA3EE50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14:paraId="4EFA62DB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歷史</w:t>
            </w:r>
          </w:p>
        </w:tc>
        <w:tc>
          <w:tcPr>
            <w:tcW w:w="7197" w:type="dxa"/>
            <w:shd w:val="clear" w:color="auto" w:fill="FFFFFF"/>
            <w:vAlign w:val="center"/>
          </w:tcPr>
          <w:p w14:paraId="76AF45B2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學習單</w:t>
            </w:r>
          </w:p>
        </w:tc>
      </w:tr>
      <w:tr w:rsidR="00B71A83" w:rsidRPr="00B71A83" w14:paraId="2E1BC878" w14:textId="77777777" w:rsidTr="00F377F9">
        <w:trPr>
          <w:trHeight w:val="236"/>
        </w:trPr>
        <w:tc>
          <w:tcPr>
            <w:tcW w:w="932" w:type="dxa"/>
            <w:vMerge/>
            <w:shd w:val="clear" w:color="auto" w:fill="FFFFFF"/>
            <w:vAlign w:val="center"/>
          </w:tcPr>
          <w:p w14:paraId="69E1FFAC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14:paraId="1E1A4726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公民</w:t>
            </w:r>
          </w:p>
        </w:tc>
        <w:tc>
          <w:tcPr>
            <w:tcW w:w="7197" w:type="dxa"/>
            <w:shd w:val="clear" w:color="auto" w:fill="FFFFFF"/>
            <w:vAlign w:val="center"/>
          </w:tcPr>
          <w:p w14:paraId="7128323A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學習單</w:t>
            </w:r>
          </w:p>
        </w:tc>
      </w:tr>
      <w:tr w:rsidR="00B71A83" w:rsidRPr="00B71A83" w14:paraId="46E69139" w14:textId="77777777" w:rsidTr="00F377F9">
        <w:trPr>
          <w:trHeight w:val="334"/>
        </w:trPr>
        <w:tc>
          <w:tcPr>
            <w:tcW w:w="1971" w:type="dxa"/>
            <w:gridSpan w:val="2"/>
            <w:vAlign w:val="center"/>
          </w:tcPr>
          <w:p w14:paraId="7AE65E8F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proofErr w:type="gramStart"/>
            <w:r w:rsidRPr="00B71A83">
              <w:rPr>
                <w:rFonts w:ascii="標楷體" w:eastAsia="標楷體" w:hAnsi="標楷體"/>
                <w:bCs/>
              </w:rPr>
              <w:t>健體</w:t>
            </w:r>
            <w:proofErr w:type="gramEnd"/>
          </w:p>
        </w:tc>
        <w:tc>
          <w:tcPr>
            <w:tcW w:w="7197" w:type="dxa"/>
            <w:vAlign w:val="center"/>
          </w:tcPr>
          <w:p w14:paraId="72C69247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領域教師各自負責</w:t>
            </w:r>
          </w:p>
        </w:tc>
      </w:tr>
      <w:tr w:rsidR="00B71A83" w:rsidRPr="00B71A83" w14:paraId="4998F59C" w14:textId="77777777" w:rsidTr="00F377F9">
        <w:trPr>
          <w:trHeight w:val="334"/>
        </w:trPr>
        <w:tc>
          <w:tcPr>
            <w:tcW w:w="1971" w:type="dxa"/>
            <w:gridSpan w:val="2"/>
            <w:vAlign w:val="center"/>
          </w:tcPr>
          <w:p w14:paraId="165E130C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藝文</w:t>
            </w:r>
          </w:p>
        </w:tc>
        <w:tc>
          <w:tcPr>
            <w:tcW w:w="7197" w:type="dxa"/>
            <w:vAlign w:val="center"/>
          </w:tcPr>
          <w:p w14:paraId="320D76F2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領域教師各自負責</w:t>
            </w:r>
          </w:p>
        </w:tc>
      </w:tr>
      <w:tr w:rsidR="00B71A83" w:rsidRPr="00B71A83" w14:paraId="487A3DBE" w14:textId="77777777" w:rsidTr="00F377F9">
        <w:trPr>
          <w:trHeight w:val="334"/>
        </w:trPr>
        <w:tc>
          <w:tcPr>
            <w:tcW w:w="1971" w:type="dxa"/>
            <w:gridSpan w:val="2"/>
            <w:vAlign w:val="center"/>
          </w:tcPr>
          <w:p w14:paraId="0C133765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綜合</w:t>
            </w:r>
          </w:p>
        </w:tc>
        <w:tc>
          <w:tcPr>
            <w:tcW w:w="7197" w:type="dxa"/>
            <w:vAlign w:val="center"/>
          </w:tcPr>
          <w:p w14:paraId="5840C960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領域教師各自負責</w:t>
            </w:r>
          </w:p>
        </w:tc>
      </w:tr>
      <w:tr w:rsidR="00B71A83" w:rsidRPr="00B71A83" w14:paraId="52EFE16D" w14:textId="77777777" w:rsidTr="00F377F9">
        <w:trPr>
          <w:trHeight w:val="334"/>
        </w:trPr>
        <w:tc>
          <w:tcPr>
            <w:tcW w:w="1971" w:type="dxa"/>
            <w:gridSpan w:val="2"/>
            <w:vAlign w:val="center"/>
          </w:tcPr>
          <w:p w14:paraId="149F8202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科技</w:t>
            </w:r>
          </w:p>
        </w:tc>
        <w:tc>
          <w:tcPr>
            <w:tcW w:w="7197" w:type="dxa"/>
            <w:vAlign w:val="center"/>
          </w:tcPr>
          <w:p w14:paraId="464B545A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領域教師各自負責</w:t>
            </w:r>
          </w:p>
        </w:tc>
      </w:tr>
      <w:tr w:rsidR="00B71A83" w:rsidRPr="00B71A83" w14:paraId="11EF5AEF" w14:textId="77777777" w:rsidTr="00F377F9">
        <w:trPr>
          <w:trHeight w:val="334"/>
        </w:trPr>
        <w:tc>
          <w:tcPr>
            <w:tcW w:w="1971" w:type="dxa"/>
            <w:gridSpan w:val="2"/>
            <w:vAlign w:val="center"/>
          </w:tcPr>
          <w:p w14:paraId="57A7FF8B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彈性學習</w:t>
            </w:r>
          </w:p>
        </w:tc>
        <w:tc>
          <w:tcPr>
            <w:tcW w:w="7197" w:type="dxa"/>
            <w:vAlign w:val="center"/>
          </w:tcPr>
          <w:p w14:paraId="63035561" w14:textId="77777777" w:rsidR="00B71A83" w:rsidRPr="00B71A83" w:rsidRDefault="00B71A83" w:rsidP="00F377F9">
            <w:pPr>
              <w:pStyle w:val="font0"/>
              <w:widowControl w:val="0"/>
              <w:spacing w:before="0" w:beforeAutospacing="0" w:after="0" w:afterAutospacing="0"/>
              <w:rPr>
                <w:rFonts w:ascii="標楷體" w:eastAsia="標楷體" w:hAnsi="標楷體" w:hint="default"/>
                <w:bCs/>
              </w:rPr>
            </w:pPr>
            <w:r w:rsidRPr="00B71A83">
              <w:rPr>
                <w:rFonts w:ascii="標楷體" w:eastAsia="標楷體" w:hAnsi="標楷體"/>
                <w:bCs/>
              </w:rPr>
              <w:t>領域教師各自負責</w:t>
            </w:r>
          </w:p>
        </w:tc>
      </w:tr>
    </w:tbl>
    <w:p w14:paraId="26803D7F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trike/>
          <w:szCs w:val="24"/>
        </w:rPr>
      </w:pPr>
    </w:p>
    <w:p w14:paraId="20C3ED3B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trike/>
          <w:szCs w:val="24"/>
        </w:rPr>
      </w:pPr>
    </w:p>
    <w:p w14:paraId="1770BDD6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trike/>
          <w:szCs w:val="24"/>
        </w:rPr>
      </w:pPr>
    </w:p>
    <w:p w14:paraId="5B2F8691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trike/>
          <w:szCs w:val="24"/>
        </w:rPr>
      </w:pPr>
    </w:p>
    <w:p w14:paraId="494A61FC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trike/>
          <w:szCs w:val="24"/>
        </w:rPr>
      </w:pPr>
    </w:p>
    <w:p w14:paraId="459DDD4F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trike/>
          <w:szCs w:val="24"/>
        </w:rPr>
      </w:pPr>
    </w:p>
    <w:p w14:paraId="543FF498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trike/>
          <w:szCs w:val="24"/>
        </w:rPr>
      </w:pPr>
    </w:p>
    <w:p w14:paraId="34973D57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trike/>
          <w:szCs w:val="24"/>
        </w:rPr>
      </w:pPr>
    </w:p>
    <w:p w14:paraId="29190F71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trike/>
          <w:szCs w:val="24"/>
        </w:rPr>
      </w:pPr>
    </w:p>
    <w:p w14:paraId="41723DEA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trike/>
          <w:szCs w:val="24"/>
        </w:rPr>
      </w:pPr>
    </w:p>
    <w:p w14:paraId="56BE0802" w14:textId="77777777" w:rsidR="00B71A83" w:rsidRPr="00B71A83" w:rsidRDefault="00B71A83" w:rsidP="00B71A83">
      <w:pPr>
        <w:pStyle w:val="a3"/>
        <w:spacing w:beforeLines="50" w:before="180" w:afterLines="50" w:after="180"/>
        <w:ind w:leftChars="215" w:left="996" w:hangingChars="200" w:hanging="480"/>
        <w:rPr>
          <w:rFonts w:ascii="標楷體" w:eastAsia="標楷體" w:hAnsi="標楷體"/>
          <w:strike/>
          <w:szCs w:val="24"/>
        </w:rPr>
      </w:pPr>
    </w:p>
    <w:p w14:paraId="0D75BA25" w14:textId="586DDCD6" w:rsidR="00CE0732" w:rsidRPr="00B71A83" w:rsidRDefault="00B71A83" w:rsidP="00B71A83">
      <w:r w:rsidRPr="00B71A83">
        <w:rPr>
          <w:rFonts w:ascii="標楷體" w:eastAsia="標楷體" w:hAnsi="標楷體" w:hint="eastAsia"/>
        </w:rPr>
        <w:t>四、</w:t>
      </w:r>
      <w:r w:rsidRPr="00B71A83">
        <w:rPr>
          <w:rFonts w:ascii="標楷體" w:eastAsia="標楷體" w:hAnsi="標楷體" w:hint="eastAsia"/>
        </w:rPr>
        <w:t>本</w:t>
      </w:r>
      <w:r w:rsidRPr="00B71A83">
        <w:rPr>
          <w:rFonts w:ascii="標楷體" w:eastAsia="標楷體" w:hAnsi="標楷體"/>
        </w:rPr>
        <w:t>要點經</w:t>
      </w:r>
      <w:r w:rsidRPr="00B71A83">
        <w:rPr>
          <w:rFonts w:ascii="標楷體" w:eastAsia="標楷體" w:hAnsi="標楷體" w:hint="eastAsia"/>
        </w:rPr>
        <w:t>課</w:t>
      </w:r>
      <w:r w:rsidRPr="00B71A83">
        <w:rPr>
          <w:rFonts w:ascii="標楷體" w:eastAsia="標楷體" w:hAnsi="標楷體"/>
        </w:rPr>
        <w:t>程發展委員會通過後公告實施，修正時亦同。</w:t>
      </w:r>
    </w:p>
    <w:sectPr w:rsidR="00CE0732" w:rsidRPr="00B71A83" w:rsidSect="00B70457">
      <w:pgSz w:w="11906" w:h="16838"/>
      <w:pgMar w:top="851" w:right="907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2D83"/>
    <w:multiLevelType w:val="multilevel"/>
    <w:tmpl w:val="03E48CF8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4" w:hanging="654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83"/>
    <w:rsid w:val="00B70457"/>
    <w:rsid w:val="00B71A83"/>
    <w:rsid w:val="00C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E2AB"/>
  <w15:chartTrackingRefBased/>
  <w15:docId w15:val="{E4F5C8C1-F10D-483B-9102-C537926B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A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1)(1)(1)(1)(1)(1)(1)(1),1.1.1.1清單段落,標題 (4),(二),列點,1.1,參考文獻,標1,標11,標12,lp1,FooterText,numbered,List Paragraph1,Paragraphe de liste1"/>
    <w:basedOn w:val="a"/>
    <w:link w:val="a4"/>
    <w:uiPriority w:val="1"/>
    <w:qFormat/>
    <w:rsid w:val="00B71A83"/>
    <w:pPr>
      <w:ind w:leftChars="200" w:left="480"/>
    </w:pPr>
    <w:rPr>
      <w:rFonts w:ascii="Calibri" w:hAnsi="Calibri"/>
      <w:szCs w:val="22"/>
    </w:rPr>
  </w:style>
  <w:style w:type="paragraph" w:customStyle="1" w:styleId="font0">
    <w:name w:val="font0"/>
    <w:basedOn w:val="a"/>
    <w:rsid w:val="00B71A8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customStyle="1" w:styleId="a4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"/>
    <w:link w:val="a3"/>
    <w:uiPriority w:val="1"/>
    <w:locked/>
    <w:rsid w:val="00B71A83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玉靖 陳</dc:creator>
  <cp:keywords/>
  <dc:description/>
  <cp:lastModifiedBy>玉靖 陳</cp:lastModifiedBy>
  <cp:revision>1</cp:revision>
  <dcterms:created xsi:type="dcterms:W3CDTF">2025-01-11T08:04:00Z</dcterms:created>
  <dcterms:modified xsi:type="dcterms:W3CDTF">2025-01-11T08:07:00Z</dcterms:modified>
</cp:coreProperties>
</file>